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</w:p>
    <w:p w:rsidR="000027B3" w:rsidRDefault="000027B3" w:rsidP="000027B3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0027B3">
        <w:rPr>
          <w:rFonts w:ascii="Times New Roman" w:hAnsi="Times New Roman" w:cs="Times New Roman"/>
          <w:i w:val="0"/>
          <w:sz w:val="24"/>
          <w:szCs w:val="24"/>
        </w:rPr>
        <w:t xml:space="preserve">СДРУЖЕНИЕ ПОЛИФОНИЯ </w:t>
      </w:r>
    </w:p>
    <w:p w:rsidR="000027B3" w:rsidRPr="000027B3" w:rsidRDefault="00B52507" w:rsidP="000027B3">
      <w:pPr>
        <w:pStyle w:val="Heading2"/>
        <w:spacing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0027B3" w:rsidRPr="000027B3">
        <w:rPr>
          <w:rFonts w:ascii="Times New Roman" w:hAnsi="Times New Roman" w:cs="Times New Roman"/>
          <w:i w:val="0"/>
          <w:sz w:val="24"/>
          <w:szCs w:val="24"/>
        </w:rPr>
        <w:t>177175981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443E86" w:rsidRDefault="00785B13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 w:rsidR="00443E86"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</w:p>
    <w:p w:rsidR="009F7836" w:rsidRDefault="009F7836" w:rsidP="00443E8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785B13">
        <w:rPr>
          <w:rFonts w:ascii="Times New Roman" w:hAnsi="Times New Roman"/>
          <w:b/>
          <w:szCs w:val="24"/>
        </w:rPr>
        <w:t xml:space="preserve">Доставка на оборудване </w:t>
      </w:r>
      <w:r>
        <w:rPr>
          <w:rFonts w:ascii="Times New Roman" w:hAnsi="Times New Roman"/>
          <w:b/>
          <w:bCs/>
          <w:szCs w:val="24"/>
        </w:rPr>
        <w:t>и обзавеждане с пет ОП: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 – Музикални инструменти и аксесоари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ОП2 – Компютърно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ОП3 – Озвучително оборудване 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ОП4 – Музикален софтуер</w:t>
      </w:r>
    </w:p>
    <w:p w:rsidR="00443E86" w:rsidRDefault="00443E86" w:rsidP="00443E86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ОП5 – Столове</w:t>
      </w:r>
      <w:r w:rsidR="005726C5">
        <w:rPr>
          <w:rFonts w:ascii="Times New Roman" w:hAnsi="Times New Roman"/>
          <w:b/>
          <w:bCs/>
          <w:szCs w:val="24"/>
        </w:rPr>
        <w:t>“</w:t>
      </w:r>
      <w:bookmarkStart w:id="0" w:name="_GoBack"/>
      <w:bookmarkEnd w:id="0"/>
    </w:p>
    <w:p w:rsidR="009F7836" w:rsidRDefault="00443E86" w:rsidP="00443E8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106FD8" w:rsidRPr="006E5710" w:rsidRDefault="00106FD8" w:rsidP="00106FD8">
      <w:pPr>
        <w:jc w:val="both"/>
        <w:rPr>
          <w:rFonts w:ascii="Times New Roman" w:hAnsi="Times New Roman"/>
          <w:b/>
          <w:szCs w:val="24"/>
          <w:u w:val="single"/>
        </w:rPr>
      </w:pPr>
      <w:r w:rsidRPr="006E5710">
        <w:rPr>
          <w:rFonts w:ascii="Times New Roman" w:hAnsi="Times New Roman"/>
          <w:b/>
          <w:szCs w:val="24"/>
        </w:rPr>
        <w:t xml:space="preserve">Настоящата оферта </w:t>
      </w:r>
      <w:r>
        <w:rPr>
          <w:rFonts w:ascii="Times New Roman" w:hAnsi="Times New Roman"/>
          <w:b/>
          <w:szCs w:val="24"/>
        </w:rPr>
        <w:t>е</w:t>
      </w:r>
      <w:r w:rsidRPr="006E5710">
        <w:rPr>
          <w:rFonts w:ascii="Times New Roman" w:hAnsi="Times New Roman"/>
          <w:b/>
          <w:szCs w:val="24"/>
        </w:rPr>
        <w:t xml:space="preserve"> за </w:t>
      </w:r>
      <w:r w:rsidRPr="00106FD8">
        <w:rPr>
          <w:rFonts w:ascii="Times New Roman" w:hAnsi="Times New Roman"/>
          <w:b/>
          <w:szCs w:val="24"/>
        </w:rPr>
        <w:t>Обособена позиция 1 -</w:t>
      </w:r>
      <w:r w:rsidR="00A0283E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Музикални инструменти и аксесоари</w:t>
      </w:r>
      <w:r w:rsidRPr="006E5710">
        <w:rPr>
          <w:rFonts w:ascii="Times New Roman" w:hAnsi="Times New Roman"/>
          <w:b/>
          <w:szCs w:val="24"/>
          <w:u w:val="single"/>
        </w:rPr>
        <w:t xml:space="preserve"> </w:t>
      </w:r>
    </w:p>
    <w:p w:rsidR="00106FD8" w:rsidRDefault="00106FD8" w:rsidP="00443E86">
      <w:pPr>
        <w:jc w:val="center"/>
        <w:rPr>
          <w:rFonts w:ascii="Times New Roman" w:hAnsi="Times New Roman"/>
          <w:sz w:val="18"/>
          <w:szCs w:val="18"/>
        </w:rPr>
      </w:pPr>
    </w:p>
    <w:p w:rsidR="00106FD8" w:rsidRPr="00B22C33" w:rsidRDefault="00106FD8" w:rsidP="00443E86">
      <w:pPr>
        <w:jc w:val="center"/>
        <w:rPr>
          <w:rFonts w:ascii="Times New Roman" w:hAnsi="Times New Roman"/>
          <w:b/>
          <w:sz w:val="18"/>
          <w:szCs w:val="18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3436"/>
        <w:gridCol w:w="1294"/>
      </w:tblGrid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="00B52507">
              <w:rPr>
                <w:rFonts w:ascii="Times New Roman" w:hAnsi="Times New Roman"/>
                <w:bCs/>
                <w:szCs w:val="24"/>
              </w:rPr>
              <w:t>:</w:t>
            </w:r>
          </w:p>
          <w:p w:rsidR="00343453" w:rsidRPr="00343453" w:rsidRDefault="00343453" w:rsidP="00A12FE6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43453">
              <w:rPr>
                <w:rFonts w:ascii="Times New Roman" w:hAnsi="Times New Roman"/>
                <w:b/>
                <w:bCs/>
                <w:szCs w:val="24"/>
              </w:rPr>
              <w:t>Обособена позиция 1 - Музикални инструменти и аксесоари</w:t>
            </w:r>
          </w:p>
          <w:p w:rsidR="00343453" w:rsidRDefault="00343453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43453" w:rsidRPr="005844DA" w:rsidRDefault="00343453" w:rsidP="00343453">
            <w:pPr>
              <w:autoSpaceDE w:val="0"/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Минимални задължителни изисквания към техническите и функционалните характеристики:</w:t>
            </w:r>
          </w:p>
          <w:p w:rsidR="00343453" w:rsidRDefault="00343453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B52507" w:rsidRPr="00343453" w:rsidRDefault="00234274" w:rsidP="00343453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43453">
              <w:rPr>
                <w:rFonts w:ascii="Times New Roman" w:hAnsi="Times New Roman"/>
                <w:b/>
                <w:bCs/>
                <w:szCs w:val="24"/>
                <w:u w:val="single"/>
              </w:rPr>
              <w:t>Концертен роял</w:t>
            </w:r>
            <w:r w:rsid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>-1 брой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Ширина-1520 мм.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Дължина -1730 мм.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Височина -1020 мм.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Корпус – 9 слоен масивна дървесина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Наличие на 3 надлъжни смърчови греди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Резонаторна дъска от иглолистна дървесина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Метална лира-чугунена в цвят злато с отливка с мокър пясък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Столче с повдигащ механизъм</w:t>
            </w:r>
          </w:p>
          <w:p w:rsidR="0046265B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Текстилен защитен калъф</w:t>
            </w:r>
          </w:p>
          <w:p w:rsidR="00C776B9" w:rsidRDefault="00C776B9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8076BD" w:rsidRDefault="008076BD" w:rsidP="00343453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8076BD">
              <w:rPr>
                <w:rFonts w:ascii="Times New Roman" w:hAnsi="Times New Roman"/>
                <w:b/>
                <w:bCs/>
                <w:szCs w:val="24"/>
                <w:u w:val="single"/>
              </w:rPr>
              <w:t>Електрическа цигулка</w:t>
            </w:r>
            <w:r w:rsid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>-1 брой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Електрическа цигулка с 4 струни с MIDI възможности</w:t>
            </w:r>
            <w:r w:rsidR="00B72119">
              <w:rPr>
                <w:rFonts w:ascii="Times New Roman" w:hAnsi="Times New Roman"/>
                <w:bCs/>
                <w:szCs w:val="24"/>
              </w:rPr>
              <w:t xml:space="preserve"> оборудвана с лък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Размер: 4/4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Тяло: Ръчно изработено от клен с бял лак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Гриф и части: изработени от абанос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lastRenderedPageBreak/>
              <w:t>Електроника и изходи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 xml:space="preserve">ISSP2 магнитна система за засичане на вибрациите – отделен сензор за всяка струна за по-детайлно аудио и MIDI проследяване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 xml:space="preserve">Аналогов изход: 1/4″ жак за усилвател/ефекти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 xml:space="preserve">MIDI изход: 13-пинов („GK-ready“) за свързване към MIDI синтезатори и устройства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Захранване: 9 V батерия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или фантомно захранване</w:t>
            </w:r>
          </w:p>
          <w:p w:rsidR="00052714" w:rsidRPr="00C776B9" w:rsidRDefault="00C776B9" w:rsidP="00C776B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776B9">
              <w:rPr>
                <w:rFonts w:ascii="Times New Roman" w:hAnsi="Times New Roman"/>
                <w:bCs/>
                <w:szCs w:val="24"/>
              </w:rPr>
              <w:t>Комплект с калъф</w:t>
            </w:r>
          </w:p>
          <w:p w:rsidR="00052714" w:rsidRDefault="00052714" w:rsidP="008076BD">
            <w:pPr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052714" w:rsidRDefault="00052714" w:rsidP="00C776B9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Цигулка размер ½ </w:t>
            </w:r>
            <w:r w:rsidR="00CB1743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- 2 броя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Акустична цигулка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Размер – 1/2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Масивна горна дъска от иглолистна дървесина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Масивен гръб и страници от клен</w:t>
            </w:r>
          </w:p>
          <w:p w:rsidR="00CB1743" w:rsidRDefault="00C776B9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C776B9">
              <w:rPr>
                <w:rFonts w:ascii="Times New Roman" w:hAnsi="Times New Roman"/>
                <w:szCs w:val="24"/>
              </w:rPr>
              <w:t>Абаносов гриф, ключове, подбрадник и струнник</w:t>
            </w:r>
            <w:r w:rsidRPr="00C776B9">
              <w:rPr>
                <w:rFonts w:ascii="Times New Roman" w:hAnsi="Times New Roman"/>
                <w:i/>
                <w:color w:val="000000"/>
                <w:position w:val="8"/>
                <w:sz w:val="18"/>
                <w:szCs w:val="24"/>
              </w:rPr>
              <w:t xml:space="preserve"> </w:t>
            </w:r>
          </w:p>
          <w:p w:rsidR="00CB1743" w:rsidRDefault="00CB1743" w:rsidP="00052714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CB1743" w:rsidRDefault="00CB1743" w:rsidP="00C776B9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Cs w:val="24"/>
                <w:u w:val="single"/>
              </w:rPr>
              <w:t>Цигулка размер ¾   - 2 броя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Акустична цигулка</w:t>
            </w:r>
          </w:p>
          <w:p w:rsidR="00C776B9" w:rsidRPr="00D1229E" w:rsidRDefault="00C776B9" w:rsidP="00C776B9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776B9">
              <w:rPr>
                <w:rFonts w:ascii="Times New Roman" w:hAnsi="Times New Roman"/>
                <w:szCs w:val="24"/>
              </w:rPr>
              <w:t xml:space="preserve">Размер – </w:t>
            </w:r>
            <w:r w:rsidR="00D1229E">
              <w:rPr>
                <w:rFonts w:ascii="Times New Roman" w:hAnsi="Times New Roman"/>
                <w:szCs w:val="24"/>
                <w:lang w:val="en-US"/>
              </w:rPr>
              <w:t xml:space="preserve">¾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Изработена от отлежала фино подбрана иглолистна дървесина за горна дъска, качествена широколистна дървесина за гръб и страници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ръчно нанесен лак</w:t>
            </w:r>
          </w:p>
          <w:p w:rsidR="00CB1743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премиум абаносов гриф, ключове, подбрадник и струнник</w:t>
            </w:r>
          </w:p>
          <w:p w:rsidR="00C776B9" w:rsidRDefault="00C776B9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C776B9" w:rsidRPr="00C776B9" w:rsidRDefault="00CB1743" w:rsidP="006A0AFA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Цигулка размер 4/4   - </w:t>
            </w:r>
            <w:r w:rsidR="008F4999" w:rsidRPr="00C776B9"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  <w:t>1</w:t>
            </w:r>
            <w:r w:rsidRP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бро</w:t>
            </w:r>
            <w:r w:rsidR="008F4999" w:rsidRP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>й</w:t>
            </w:r>
            <w:r w:rsidRPr="00C776B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Акустична цигулка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Размер – 4/4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Изработена от отлежала фино подбрана иглолистна дървесина за горна дъска, качествена широколистна дървесина за гръб и страници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ръчно нанесен лак</w:t>
            </w:r>
          </w:p>
          <w:p w:rsidR="00CB1743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премиум абаносов гриф, ключове, подбрадник и струнник</w:t>
            </w:r>
          </w:p>
          <w:p w:rsidR="00D1229E" w:rsidRDefault="00D1229E" w:rsidP="00C776B9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C776B9" w:rsidRPr="00C776B9" w:rsidRDefault="00C776B9" w:rsidP="00C776B9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>Лък за цигулка ½  - 2 броя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Конски косъм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Материал на щеката висококачествен масив</w:t>
            </w:r>
          </w:p>
          <w:p w:rsidR="00C776B9" w:rsidRPr="00C776B9" w:rsidRDefault="00C776B9" w:rsidP="00C776B9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Жабка от абанос, метален обков</w:t>
            </w:r>
          </w:p>
          <w:p w:rsidR="00C776B9" w:rsidRDefault="00C776B9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156E90" w:rsidRPr="00C776B9" w:rsidRDefault="00156E90" w:rsidP="00156E90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 xml:space="preserve">Лък за цигулка 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¾ </w:t>
            </w: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 xml:space="preserve">  - 2 броя</w:t>
            </w:r>
          </w:p>
          <w:p w:rsidR="00156E90" w:rsidRPr="00C776B9" w:rsidRDefault="00156E90" w:rsidP="00156E9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Конски косъм</w:t>
            </w:r>
          </w:p>
          <w:p w:rsidR="00156E90" w:rsidRPr="00C776B9" w:rsidRDefault="00156E90" w:rsidP="00156E9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Материал на щеката висококачествен масив</w:t>
            </w:r>
          </w:p>
          <w:p w:rsidR="00156E90" w:rsidRPr="00C776B9" w:rsidRDefault="00156E90" w:rsidP="00156E9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Жабка от абанос, метален обков</w:t>
            </w:r>
          </w:p>
          <w:p w:rsidR="00156E90" w:rsidRDefault="00156E90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FA2C9A" w:rsidRPr="00C776B9" w:rsidRDefault="00FA2C9A" w:rsidP="00FA2C9A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 xml:space="preserve">Лък за цигулка 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4/4  </w:t>
            </w: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 xml:space="preserve">  </w:t>
            </w:r>
            <w:r w:rsidR="002E3EB4">
              <w:rPr>
                <w:rFonts w:ascii="Times New Roman" w:hAnsi="Times New Roman"/>
                <w:b/>
                <w:szCs w:val="24"/>
                <w:u w:val="single"/>
              </w:rPr>
              <w:t>1</w:t>
            </w:r>
            <w:r w:rsidRPr="00C776B9">
              <w:rPr>
                <w:rFonts w:ascii="Times New Roman" w:hAnsi="Times New Roman"/>
                <w:b/>
                <w:szCs w:val="24"/>
                <w:u w:val="single"/>
              </w:rPr>
              <w:t xml:space="preserve"> бро</w:t>
            </w:r>
            <w:r w:rsidR="002E3EB4">
              <w:rPr>
                <w:rFonts w:ascii="Times New Roman" w:hAnsi="Times New Roman"/>
                <w:b/>
                <w:szCs w:val="24"/>
                <w:u w:val="single"/>
              </w:rPr>
              <w:t>й</w:t>
            </w:r>
          </w:p>
          <w:p w:rsidR="00AF7670" w:rsidRPr="00C776B9" w:rsidRDefault="00AF7670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Конски косъм</w:t>
            </w:r>
          </w:p>
          <w:p w:rsidR="00AF7670" w:rsidRPr="00C776B9" w:rsidRDefault="00AF7670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Материал на щеката висококачествен масив</w:t>
            </w:r>
          </w:p>
          <w:p w:rsidR="00AF7670" w:rsidRPr="00C776B9" w:rsidRDefault="00AF7670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C776B9">
              <w:rPr>
                <w:rFonts w:ascii="Times New Roman" w:hAnsi="Times New Roman"/>
                <w:szCs w:val="24"/>
              </w:rPr>
              <w:t>Жабка от абанос, метален обков</w:t>
            </w:r>
          </w:p>
          <w:p w:rsidR="00FA2C9A" w:rsidRDefault="00FA2C9A" w:rsidP="00C776B9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AF7670" w:rsidRDefault="00AF7670" w:rsidP="00AF7670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AF7670">
              <w:rPr>
                <w:rFonts w:ascii="Times New Roman" w:hAnsi="Times New Roman"/>
                <w:b/>
                <w:szCs w:val="24"/>
                <w:u w:val="single"/>
              </w:rPr>
              <w:t xml:space="preserve">Калъф за цигулка размер 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>½ - 2 броя</w:t>
            </w:r>
          </w:p>
          <w:p w:rsidR="00AF7670" w:rsidRPr="006C4E78" w:rsidRDefault="006C4E78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В</w:t>
            </w:r>
            <w:r w:rsidR="00AF7670" w:rsidRPr="006C4E78">
              <w:rPr>
                <w:rFonts w:ascii="Times New Roman" w:hAnsi="Times New Roman"/>
                <w:szCs w:val="24"/>
              </w:rPr>
              <w:t>ъншен материал плат</w:t>
            </w:r>
          </w:p>
          <w:p w:rsidR="00AF7670" w:rsidRPr="006C4E78" w:rsidRDefault="00AF7670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Наличие на джоб за аксесоари</w:t>
            </w:r>
          </w:p>
          <w:p w:rsidR="00AF7670" w:rsidRPr="006C4E78" w:rsidRDefault="006C4E78" w:rsidP="00AF7670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="00AF7670" w:rsidRPr="006C4E78">
              <w:rPr>
                <w:rFonts w:ascii="Times New Roman" w:hAnsi="Times New Roman"/>
                <w:szCs w:val="24"/>
              </w:rPr>
              <w:t>ътрешен материал мека подплата</w:t>
            </w:r>
          </w:p>
          <w:p w:rsidR="00AF7670" w:rsidRDefault="00AF7670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Дръжка за носене</w:t>
            </w:r>
          </w:p>
          <w:p w:rsidR="007B786D" w:rsidRDefault="007B786D" w:rsidP="00AF7670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6C4E78" w:rsidRDefault="000A3901" w:rsidP="000A3901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0A3901">
              <w:rPr>
                <w:rFonts w:ascii="Times New Roman" w:hAnsi="Times New Roman"/>
                <w:b/>
                <w:szCs w:val="24"/>
                <w:u w:val="single"/>
              </w:rPr>
              <w:t xml:space="preserve">Калъф за цигулка размер 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>¾ - 2 броя</w:t>
            </w:r>
          </w:p>
          <w:p w:rsidR="000A3901" w:rsidRPr="006C4E78" w:rsidRDefault="000A3901" w:rsidP="000A3901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Външен материал плат</w:t>
            </w:r>
          </w:p>
          <w:p w:rsidR="000A3901" w:rsidRPr="006C4E78" w:rsidRDefault="000A3901" w:rsidP="000A3901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Наличие на джоб за аксесоари</w:t>
            </w:r>
          </w:p>
          <w:p w:rsidR="000A3901" w:rsidRPr="006C4E78" w:rsidRDefault="000A3901" w:rsidP="000A390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Pr="006C4E78">
              <w:rPr>
                <w:rFonts w:ascii="Times New Roman" w:hAnsi="Times New Roman"/>
                <w:szCs w:val="24"/>
              </w:rPr>
              <w:t>ътрешен материал мека подплата</w:t>
            </w:r>
          </w:p>
          <w:p w:rsidR="00AF7670" w:rsidRDefault="000A3901" w:rsidP="000A3901">
            <w:pPr>
              <w:jc w:val="both"/>
              <w:rPr>
                <w:rFonts w:ascii="Times New Roman" w:hAnsi="Times New Roman"/>
                <w:szCs w:val="24"/>
              </w:rPr>
            </w:pPr>
            <w:r w:rsidRPr="006C4E78">
              <w:rPr>
                <w:rFonts w:ascii="Times New Roman" w:hAnsi="Times New Roman"/>
                <w:szCs w:val="24"/>
              </w:rPr>
              <w:t>Дръжка за носене</w:t>
            </w:r>
          </w:p>
          <w:p w:rsidR="007B786D" w:rsidRDefault="007B786D" w:rsidP="000A3901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0A3901" w:rsidRDefault="000A3901" w:rsidP="000A3901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0A3901">
              <w:rPr>
                <w:rFonts w:ascii="Times New Roman" w:hAnsi="Times New Roman"/>
                <w:b/>
                <w:szCs w:val="24"/>
                <w:u w:val="single"/>
              </w:rPr>
              <w:t xml:space="preserve">Калъф за цигулка размер 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4/4 - </w:t>
            </w:r>
            <w:r w:rsidR="00F5467C">
              <w:rPr>
                <w:rFonts w:ascii="Times New Roman" w:hAnsi="Times New Roman"/>
                <w:b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 бро</w:t>
            </w:r>
            <w:r w:rsidR="00F5467C">
              <w:rPr>
                <w:rFonts w:ascii="Times New Roman" w:hAnsi="Times New Roman"/>
                <w:b/>
                <w:szCs w:val="24"/>
                <w:u w:val="single"/>
              </w:rPr>
              <w:t>й</w:t>
            </w:r>
          </w:p>
          <w:p w:rsidR="00AF7670" w:rsidRPr="000A3901" w:rsidRDefault="000A3901" w:rsidP="00AF7670">
            <w:pPr>
              <w:jc w:val="both"/>
              <w:rPr>
                <w:rFonts w:ascii="Times New Roman" w:hAnsi="Times New Roman"/>
                <w:szCs w:val="24"/>
              </w:rPr>
            </w:pPr>
            <w:r w:rsidRPr="000A3901">
              <w:rPr>
                <w:rFonts w:ascii="Times New Roman" w:hAnsi="Times New Roman"/>
                <w:szCs w:val="24"/>
              </w:rPr>
              <w:t xml:space="preserve">Калъф от </w:t>
            </w:r>
            <w:r w:rsidR="00C13879" w:rsidRPr="000A3901">
              <w:rPr>
                <w:rFonts w:ascii="Times New Roman" w:hAnsi="Times New Roman"/>
                <w:szCs w:val="24"/>
              </w:rPr>
              <w:t>поликарбонат</w:t>
            </w:r>
            <w:r w:rsidRPr="000A3901">
              <w:rPr>
                <w:rFonts w:ascii="Times New Roman" w:hAnsi="Times New Roman"/>
                <w:szCs w:val="24"/>
              </w:rPr>
              <w:t xml:space="preserve"> с подвижен калъф за лък</w:t>
            </w:r>
          </w:p>
          <w:p w:rsidR="0031498D" w:rsidRDefault="0031498D" w:rsidP="0031498D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>Възглавничка за цигулка ½ - 2 броя</w:t>
            </w:r>
          </w:p>
          <w:p w:rsid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 w:rsidRPr="00B205B6">
              <w:rPr>
                <w:rFonts w:ascii="Times New Roman" w:hAnsi="Times New Roman"/>
                <w:szCs w:val="24"/>
              </w:rPr>
              <w:t>Изработена от дървен материал</w:t>
            </w:r>
          </w:p>
          <w:p w:rsidR="00B205B6" w:rsidRP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Регулируема</w:t>
            </w:r>
          </w:p>
          <w:p w:rsidR="000A3901" w:rsidRDefault="0031498D" w:rsidP="0031498D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>Възглавничка за цигулка ¾ - 2 броя</w:t>
            </w:r>
          </w:p>
          <w:p w:rsid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 w:rsidRPr="00B205B6">
              <w:rPr>
                <w:rFonts w:ascii="Times New Roman" w:hAnsi="Times New Roman"/>
                <w:szCs w:val="24"/>
              </w:rPr>
              <w:t>Изработена от дървен материал</w:t>
            </w:r>
          </w:p>
          <w:p w:rsidR="00B205B6" w:rsidRP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Регулируема</w:t>
            </w:r>
          </w:p>
          <w:p w:rsidR="0031498D" w:rsidRDefault="0031498D" w:rsidP="0031498D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>Възглавничка за цигулка 4/4 – 1 брой</w:t>
            </w:r>
          </w:p>
          <w:p w:rsid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 w:rsidRPr="00B205B6">
              <w:rPr>
                <w:rFonts w:ascii="Times New Roman" w:hAnsi="Times New Roman"/>
                <w:szCs w:val="24"/>
              </w:rPr>
              <w:t>Изработена от дървен материал</w:t>
            </w:r>
          </w:p>
          <w:p w:rsidR="00B205B6" w:rsidRP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Регулируема</w:t>
            </w:r>
          </w:p>
          <w:p w:rsidR="00B205B6" w:rsidRDefault="00B205B6" w:rsidP="00B205B6">
            <w:pPr>
              <w:pStyle w:val="ListParagraph"/>
              <w:ind w:left="42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5B5D82" w:rsidRDefault="005B5D82" w:rsidP="00821531">
            <w:pPr>
              <w:pStyle w:val="ListParagraph"/>
              <w:numPr>
                <w:ilvl w:val="0"/>
                <w:numId w:val="5"/>
              </w:numPr>
              <w:ind w:left="420" w:hanging="42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821531">
              <w:rPr>
                <w:rFonts w:ascii="Times New Roman" w:hAnsi="Times New Roman"/>
                <w:b/>
                <w:szCs w:val="24"/>
                <w:u w:val="single"/>
              </w:rPr>
              <w:t>Стойка</w:t>
            </w:r>
            <w:r w:rsidRPr="005B5D82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за ноти</w:t>
            </w:r>
            <w:r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 – 10 броя</w:t>
            </w:r>
          </w:p>
          <w:p w:rsidR="00821531" w:rsidRPr="00821531" w:rsidRDefault="00821531" w:rsidP="00821531">
            <w:pPr>
              <w:jc w:val="both"/>
              <w:rPr>
                <w:rFonts w:ascii="Times New Roman" w:hAnsi="Times New Roman"/>
                <w:szCs w:val="24"/>
              </w:rPr>
            </w:pPr>
            <w:r w:rsidRPr="00821531">
              <w:rPr>
                <w:rFonts w:ascii="Times New Roman" w:hAnsi="Times New Roman"/>
                <w:szCs w:val="24"/>
              </w:rPr>
              <w:t>Метална</w:t>
            </w:r>
          </w:p>
          <w:p w:rsidR="00821531" w:rsidRPr="00821531" w:rsidRDefault="00821531" w:rsidP="00821531">
            <w:pPr>
              <w:jc w:val="both"/>
              <w:rPr>
                <w:rFonts w:ascii="Times New Roman" w:hAnsi="Times New Roman"/>
                <w:szCs w:val="24"/>
              </w:rPr>
            </w:pPr>
            <w:r w:rsidRPr="00821531">
              <w:rPr>
                <w:rFonts w:ascii="Times New Roman" w:hAnsi="Times New Roman"/>
                <w:szCs w:val="24"/>
              </w:rPr>
              <w:t>Сгъваема</w:t>
            </w:r>
          </w:p>
          <w:p w:rsidR="00821531" w:rsidRPr="00052714" w:rsidRDefault="00821531" w:rsidP="00A9424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821531">
              <w:rPr>
                <w:rFonts w:ascii="Times New Roman" w:hAnsi="Times New Roman"/>
                <w:szCs w:val="24"/>
              </w:rPr>
              <w:t>Височина на повдигане до 1100 мм.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138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A839BD">
              <w:rPr>
                <w:rFonts w:ascii="Times New Roman" w:hAnsi="Times New Roman"/>
                <w:position w:val="8"/>
                <w:szCs w:val="24"/>
              </w:rPr>
              <w:t>: Гаранционен сервиз</w:t>
            </w:r>
            <w:r w:rsidR="00340D6B">
              <w:rPr>
                <w:rFonts w:ascii="Times New Roman" w:hAnsi="Times New Roman"/>
                <w:position w:val="8"/>
                <w:szCs w:val="24"/>
              </w:rPr>
              <w:t xml:space="preserve"> за музикалните инструменти</w:t>
            </w:r>
            <w:r w:rsidR="00A839BD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590138">
              <w:rPr>
                <w:rFonts w:ascii="Times New Roman" w:hAnsi="Times New Roman"/>
                <w:position w:val="8"/>
                <w:szCs w:val="24"/>
              </w:rPr>
              <w:t>минимум</w:t>
            </w:r>
            <w:r w:rsidR="00A839BD">
              <w:rPr>
                <w:rFonts w:ascii="Times New Roman" w:hAnsi="Times New Roman"/>
                <w:position w:val="8"/>
                <w:szCs w:val="24"/>
              </w:rPr>
              <w:t xml:space="preserve"> 24 месеца</w:t>
            </w:r>
            <w:r w:rsidR="0047466A">
              <w:rPr>
                <w:rFonts w:ascii="Times New Roman" w:hAnsi="Times New Roman"/>
                <w:position w:val="8"/>
                <w:szCs w:val="24"/>
              </w:rPr>
              <w:t xml:space="preserve">. </w:t>
            </w:r>
            <w:r w:rsidR="00590138" w:rsidRPr="0047466A">
              <w:rPr>
                <w:rFonts w:ascii="Times New Roman" w:hAnsi="Times New Roman"/>
                <w:position w:val="8"/>
                <w:szCs w:val="24"/>
              </w:rPr>
              <w:t xml:space="preserve">В цената </w:t>
            </w:r>
            <w:r w:rsidR="002137A4" w:rsidRPr="0047466A">
              <w:rPr>
                <w:rFonts w:ascii="Times New Roman" w:hAnsi="Times New Roman"/>
                <w:position w:val="8"/>
                <w:szCs w:val="24"/>
              </w:rPr>
              <w:t xml:space="preserve">на концертния роял </w:t>
            </w:r>
            <w:r w:rsidR="00590138" w:rsidRPr="0047466A">
              <w:rPr>
                <w:rFonts w:ascii="Times New Roman" w:hAnsi="Times New Roman"/>
                <w:position w:val="8"/>
                <w:szCs w:val="24"/>
              </w:rPr>
              <w:t>е включено акордиране за срок от 24 месеца</w:t>
            </w:r>
          </w:p>
          <w:p w:rsidR="0046265B" w:rsidRPr="0046265B" w:rsidRDefault="0046265B" w:rsidP="00A839BD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BD1" w:rsidRPr="0046265B" w:rsidRDefault="0046265B" w:rsidP="007C5AF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10414">
              <w:rPr>
                <w:rFonts w:ascii="Times New Roman" w:hAnsi="Times New Roman"/>
                <w:szCs w:val="24"/>
              </w:rPr>
              <w:t>Изисквания към документацията,  съпровождаща изпълнението на предмета на процедурата (ако</w:t>
            </w:r>
            <w:r w:rsidRPr="0046265B">
              <w:rPr>
                <w:rFonts w:ascii="Times New Roman" w:hAnsi="Times New Roman"/>
                <w:szCs w:val="24"/>
              </w:rPr>
              <w:t xml:space="preserve"> е приложимо): </w:t>
            </w:r>
            <w:r w:rsidR="007C5AF0">
              <w:rPr>
                <w:rFonts w:ascii="Times New Roman" w:hAnsi="Times New Roman"/>
                <w:szCs w:val="24"/>
              </w:rPr>
              <w:t>Гаранционни карти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E57E91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</w:t>
            </w:r>
            <w:r w:rsidR="007C5AF0">
              <w:rPr>
                <w:rFonts w:ascii="Times New Roman" w:hAnsi="Times New Roman"/>
                <w:position w:val="8"/>
                <w:szCs w:val="24"/>
              </w:rPr>
              <w:t>)-Неприложимо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Изисквания за обучение на персонала на бенефициента за експлоатация:</w:t>
            </w:r>
            <w:r w:rsidR="00E57E91">
              <w:rPr>
                <w:rFonts w:ascii="Times New Roman" w:hAnsi="Times New Roman"/>
                <w:szCs w:val="24"/>
              </w:rPr>
              <w:t xml:space="preserve"> Неприложимо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</w:t>
            </w:r>
            <w:r w:rsidR="00A839BD">
              <w:rPr>
                <w:rFonts w:ascii="Times New Roman" w:hAnsi="Times New Roman"/>
                <w:szCs w:val="24"/>
              </w:rPr>
              <w:t xml:space="preserve">: </w:t>
            </w:r>
            <w:r w:rsidR="007C5AF0">
              <w:rPr>
                <w:rFonts w:ascii="Times New Roman" w:hAnsi="Times New Roman"/>
                <w:szCs w:val="24"/>
              </w:rPr>
              <w:t>Неприложимо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F4999"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Pr="008F4999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  <w:lang w:val="en-US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47466A" w:rsidP="00D416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Единична цена в евро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47466A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</w:t>
            </w:r>
            <w:r w:rsidR="0047466A">
              <w:rPr>
                <w:rFonts w:ascii="Times New Roman" w:hAnsi="Times New Roman"/>
                <w:sz w:val="20"/>
              </w:rPr>
              <w:t xml:space="preserve">евро </w:t>
            </w:r>
            <w:r w:rsidRPr="00060621">
              <w:rPr>
                <w:rFonts w:ascii="Times New Roman" w:hAnsi="Times New Roman"/>
                <w:sz w:val="20"/>
              </w:rPr>
              <w:t xml:space="preserve">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A0283E" w:rsidRDefault="002135D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Концертен роял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A0283E" w:rsidRDefault="002135D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60621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2135D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Електрическа цигулка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2135D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60621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F21600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Цигулка размер ½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F21600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60621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Цигулка размер 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A0283E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44AC9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Цигулка размер 4/4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44AC9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Лък за цигулка</w:t>
            </w:r>
            <w:r w:rsidR="00830B65" w:rsidRPr="00A0283E">
              <w:rPr>
                <w:rFonts w:ascii="Times New Roman" w:hAnsi="Times New Roman"/>
                <w:sz w:val="22"/>
              </w:rPr>
              <w:t xml:space="preserve"> 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044AC9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830B6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Лък за цигулка ¾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830B6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4AC9" w:rsidRPr="00A0283E" w:rsidRDefault="00044AC9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830B65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0B65" w:rsidRPr="00A0283E" w:rsidRDefault="00830B6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0B65" w:rsidRPr="00A0283E" w:rsidRDefault="00274B7A" w:rsidP="00274B7A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Лък за цигулка 4/4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0B65" w:rsidRPr="00A0283E" w:rsidRDefault="00B72119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0B65" w:rsidRPr="00A0283E" w:rsidRDefault="00830B65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0B65" w:rsidRPr="00A0283E" w:rsidRDefault="00830B65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274B7A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7A" w:rsidRPr="00A0283E" w:rsidRDefault="00274B7A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7A" w:rsidRPr="00A0283E" w:rsidRDefault="00C477B5" w:rsidP="00C477B5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Калъф за цигулка размер 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7A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7A" w:rsidRPr="00A0283E" w:rsidRDefault="00274B7A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4B7A" w:rsidRPr="00A0283E" w:rsidRDefault="00274B7A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C477B5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C477B5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Калъф за цигулка размер 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C477B5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C477B5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Калъф за цигулка размер 4/4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BE6F8E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C477B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Възглавничка за цигулка 1/2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BE6F8E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C477B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Възглавничка за цигулка 3/4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BE6F8E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C477B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Възглавничка за цигулка 4/4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F8E" w:rsidRPr="00A0283E" w:rsidRDefault="00BE6F8E" w:rsidP="00060621">
            <w:pPr>
              <w:rPr>
                <w:rFonts w:ascii="Times New Roman" w:hAnsi="Times New Roman"/>
                <w:sz w:val="22"/>
              </w:rPr>
            </w:pPr>
          </w:p>
        </w:tc>
      </w:tr>
      <w:tr w:rsidR="00C477B5" w:rsidRPr="00A0283E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</w:t>
            </w:r>
            <w:r w:rsidR="00BE6F8E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2F5E94" w:rsidP="00C477B5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 xml:space="preserve">Стойка за ноти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2F5E94" w:rsidP="00060621">
            <w:pPr>
              <w:rPr>
                <w:rFonts w:ascii="Times New Roman" w:hAnsi="Times New Roman"/>
                <w:sz w:val="22"/>
              </w:rPr>
            </w:pPr>
            <w:r w:rsidRPr="00A0283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77B5" w:rsidRPr="00A0283E" w:rsidRDefault="00C477B5" w:rsidP="00060621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Default="00060621" w:rsidP="00060621">
      <w:pPr>
        <w:rPr>
          <w:rFonts w:ascii="Times New Roman" w:hAnsi="Times New Roman"/>
          <w:b/>
          <w:lang w:val="ru-RU"/>
        </w:rPr>
      </w:pPr>
    </w:p>
    <w:p w:rsidR="00525C08" w:rsidRPr="00060621" w:rsidRDefault="00525C08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lastRenderedPageBreak/>
        <w:t>ІІ. НАЧИН НА ПЛАЩАНЕ</w:t>
      </w:r>
    </w:p>
    <w:p w:rsidR="005673C2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060621" w:rsidRDefault="00060621" w:rsidP="00060621">
      <w:pPr>
        <w:rPr>
          <w:rFonts w:ascii="Times New Roman" w:hAnsi="Times New Roman"/>
        </w:rPr>
      </w:pPr>
    </w:p>
    <w:p w:rsidR="00D327A4" w:rsidRPr="0064774A" w:rsidRDefault="00D327A4" w:rsidP="00D327A4">
      <w:pPr>
        <w:pStyle w:val="BodyText3"/>
        <w:snapToGrid w:val="0"/>
        <w:jc w:val="both"/>
        <w:rPr>
          <w:b w:val="0"/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1. </w:t>
      </w:r>
      <w:r w:rsidRPr="00E36F8D">
        <w:rPr>
          <w:i w:val="0"/>
          <w:color w:val="auto"/>
          <w:sz w:val="24"/>
        </w:rPr>
        <w:t xml:space="preserve">Авансово плащане в размер на </w:t>
      </w:r>
      <w:r>
        <w:rPr>
          <w:i w:val="0"/>
          <w:color w:val="auto"/>
          <w:sz w:val="24"/>
        </w:rPr>
        <w:t>5</w:t>
      </w:r>
      <w:r w:rsidRPr="00E36F8D">
        <w:rPr>
          <w:i w:val="0"/>
          <w:color w:val="auto"/>
          <w:sz w:val="24"/>
        </w:rPr>
        <w:t>0 (</w:t>
      </w:r>
      <w:r>
        <w:rPr>
          <w:i w:val="0"/>
          <w:color w:val="auto"/>
          <w:sz w:val="24"/>
        </w:rPr>
        <w:t>петдесет</w:t>
      </w:r>
      <w:r w:rsidRPr="00E36F8D">
        <w:rPr>
          <w:i w:val="0"/>
          <w:color w:val="auto"/>
          <w:sz w:val="24"/>
        </w:rPr>
        <w:t xml:space="preserve">) % </w:t>
      </w:r>
      <w:r w:rsidRPr="0064774A">
        <w:rPr>
          <w:b w:val="0"/>
          <w:i w:val="0"/>
          <w:color w:val="auto"/>
          <w:sz w:val="24"/>
        </w:rPr>
        <w:t>от стойността на оборудването, платимо в срок до 10 работни дни след подписване на договора и издаване на фактура.</w:t>
      </w:r>
    </w:p>
    <w:p w:rsidR="00D327A4" w:rsidRDefault="00D327A4" w:rsidP="00D327A4">
      <w:pPr>
        <w:pStyle w:val="BodyText3"/>
        <w:snapToGrid w:val="0"/>
        <w:jc w:val="both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2. Балансово плащане в размер на 5</w:t>
      </w:r>
      <w:r w:rsidRPr="00E36F8D">
        <w:rPr>
          <w:i w:val="0"/>
          <w:color w:val="auto"/>
          <w:sz w:val="24"/>
        </w:rPr>
        <w:t>0 (</w:t>
      </w:r>
      <w:r>
        <w:rPr>
          <w:i w:val="0"/>
          <w:color w:val="auto"/>
          <w:sz w:val="24"/>
        </w:rPr>
        <w:t>пет</w:t>
      </w:r>
      <w:r w:rsidRPr="00E36F8D">
        <w:rPr>
          <w:i w:val="0"/>
          <w:color w:val="auto"/>
          <w:sz w:val="24"/>
        </w:rPr>
        <w:t xml:space="preserve">десет) % </w:t>
      </w:r>
      <w:r w:rsidRPr="0064774A">
        <w:rPr>
          <w:b w:val="0"/>
          <w:i w:val="0"/>
          <w:color w:val="auto"/>
          <w:sz w:val="24"/>
        </w:rPr>
        <w:t xml:space="preserve">от стойността на оборудването, платимо в срок до 10 календарни дни след датата на подписване на финален приемо-предавателен протокол и въвеждане в експлоатация на оборудването и издаване на фактура от страна на </w:t>
      </w:r>
      <w:r>
        <w:rPr>
          <w:b w:val="0"/>
          <w:i w:val="0"/>
          <w:color w:val="auto"/>
          <w:sz w:val="24"/>
        </w:rPr>
        <w:t>и</w:t>
      </w:r>
      <w:r w:rsidRPr="0064774A">
        <w:rPr>
          <w:b w:val="0"/>
          <w:i w:val="0"/>
          <w:color w:val="auto"/>
          <w:sz w:val="24"/>
        </w:rPr>
        <w:t>зпълнителя.</w:t>
      </w:r>
    </w:p>
    <w:p w:rsidR="005673C2" w:rsidRDefault="005673C2" w:rsidP="00060621">
      <w:pPr>
        <w:rPr>
          <w:rFonts w:ascii="Times New Roman" w:hAnsi="Times New Roman"/>
        </w:rPr>
      </w:pPr>
    </w:p>
    <w:p w:rsidR="00D327A4" w:rsidRDefault="00D327A4" w:rsidP="00D327A4">
      <w:pPr>
        <w:autoSpaceDE w:val="0"/>
        <w:jc w:val="both"/>
        <w:rPr>
          <w:rFonts w:ascii="Times New Roman" w:hAnsi="Times New Roman"/>
          <w:b/>
          <w:bCs/>
          <w:i/>
          <w:szCs w:val="24"/>
        </w:rPr>
      </w:pPr>
      <w:r w:rsidRPr="00A25301">
        <w:rPr>
          <w:rFonts w:ascii="Times New Roman" w:hAnsi="Times New Roman"/>
          <w:bCs/>
          <w:szCs w:val="24"/>
        </w:rPr>
        <w:t>Всички плащания ще се извършват след представяне на фактура, в която да бъде упоменат текста „</w:t>
      </w:r>
      <w:r>
        <w:rPr>
          <w:rFonts w:ascii="Times New Roman" w:hAnsi="Times New Roman"/>
          <w:bCs/>
          <w:szCs w:val="24"/>
        </w:rPr>
        <w:t xml:space="preserve">Разхода е </w:t>
      </w:r>
      <w:r w:rsidRPr="00A25301">
        <w:rPr>
          <w:rFonts w:ascii="Times New Roman" w:hAnsi="Times New Roman"/>
          <w:bCs/>
          <w:szCs w:val="24"/>
        </w:rPr>
        <w:t xml:space="preserve">във връзка с изпълнение на </w:t>
      </w:r>
      <w:r>
        <w:rPr>
          <w:rFonts w:ascii="Times New Roman" w:hAnsi="Times New Roman"/>
          <w:bCs/>
          <w:szCs w:val="24"/>
        </w:rPr>
        <w:t xml:space="preserve">договор </w:t>
      </w:r>
      <w:r w:rsidR="00D27CDF" w:rsidRPr="00D27CDF">
        <w:rPr>
          <w:rFonts w:ascii="Times New Roman" w:hAnsi="Times New Roman"/>
          <w:bCs/>
          <w:szCs w:val="24"/>
        </w:rPr>
        <w:t xml:space="preserve"> за безвъзмездна финансова помощ №190327 от 26.08.2025 г. по проект: JEMS No:</w:t>
      </w:r>
      <w:r w:rsidR="008930A3">
        <w:rPr>
          <w:rFonts w:ascii="Times New Roman" w:hAnsi="Times New Roman"/>
          <w:bCs/>
          <w:szCs w:val="24"/>
        </w:rPr>
        <w:t xml:space="preserve"> </w:t>
      </w:r>
      <w:r w:rsidR="00D27CDF" w:rsidRPr="00D27CDF">
        <w:rPr>
          <w:rFonts w:ascii="Times New Roman" w:hAnsi="Times New Roman"/>
          <w:bCs/>
          <w:szCs w:val="24"/>
        </w:rPr>
        <w:t>ROBG00276-GOAL „Go Out and Learn</w:t>
      </w:r>
      <w:r w:rsidRPr="00D27CDF">
        <w:rPr>
          <w:rFonts w:ascii="Times New Roman" w:hAnsi="Times New Roman"/>
          <w:bCs/>
          <w:szCs w:val="24"/>
        </w:rPr>
        <w:t>“</w:t>
      </w:r>
      <w:r>
        <w:rPr>
          <w:rFonts w:ascii="Times New Roman" w:hAnsi="Times New Roman"/>
          <w:bCs/>
          <w:szCs w:val="24"/>
        </w:rPr>
        <w:t>.</w:t>
      </w:r>
    </w:p>
    <w:p w:rsidR="00D327A4" w:rsidRDefault="00D327A4" w:rsidP="00060621">
      <w:pPr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</w:t>
      </w:r>
      <w:r w:rsidR="00A839BD">
        <w:rPr>
          <w:rFonts w:ascii="Times New Roman" w:hAnsi="Times New Roman"/>
        </w:rPr>
        <w:t xml:space="preserve">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4A6" w:rsidRDefault="000774A6">
      <w:r>
        <w:separator/>
      </w:r>
    </w:p>
  </w:endnote>
  <w:endnote w:type="continuationSeparator" w:id="0">
    <w:p w:rsidR="000774A6" w:rsidRDefault="0007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Pr="001247B9" w:rsidRDefault="00015AA4" w:rsidP="001247B9">
    <w:pPr>
      <w:pStyle w:val="Footer"/>
      <w:framePr w:wrap="around" w:vAnchor="text" w:hAnchor="page" w:x="10876" w:y="826"/>
      <w:rPr>
        <w:rStyle w:val="PageNumber"/>
        <w:sz w:val="18"/>
        <w:szCs w:val="18"/>
      </w:rPr>
    </w:pPr>
    <w:r w:rsidRPr="001247B9">
      <w:rPr>
        <w:rStyle w:val="PageNumber"/>
        <w:sz w:val="18"/>
        <w:szCs w:val="18"/>
      </w:rPr>
      <w:fldChar w:fldCharType="begin"/>
    </w:r>
    <w:r w:rsidRPr="001247B9">
      <w:rPr>
        <w:rStyle w:val="PageNumber"/>
        <w:sz w:val="18"/>
        <w:szCs w:val="18"/>
      </w:rPr>
      <w:instrText xml:space="preserve">PAGE  </w:instrText>
    </w:r>
    <w:r w:rsidRPr="001247B9">
      <w:rPr>
        <w:rStyle w:val="PageNumber"/>
        <w:sz w:val="18"/>
        <w:szCs w:val="18"/>
      </w:rPr>
      <w:fldChar w:fldCharType="separate"/>
    </w:r>
    <w:r w:rsidR="005726C5">
      <w:rPr>
        <w:rStyle w:val="PageNumber"/>
        <w:noProof/>
        <w:sz w:val="18"/>
        <w:szCs w:val="18"/>
      </w:rPr>
      <w:t>6</w:t>
    </w:r>
    <w:r w:rsidRPr="001247B9">
      <w:rPr>
        <w:rStyle w:val="PageNumber"/>
        <w:sz w:val="18"/>
        <w:szCs w:val="18"/>
      </w:rPr>
      <w:fldChar w:fldCharType="end"/>
    </w:r>
  </w:p>
  <w:p w:rsidR="00AE71C7" w:rsidRPr="00F51AF6" w:rsidRDefault="00AE71C7" w:rsidP="00AE71C7">
    <w:pPr>
      <w:pStyle w:val="Footer"/>
      <w:jc w:val="both"/>
      <w:rPr>
        <w:i/>
        <w:sz w:val="16"/>
        <w:szCs w:val="16"/>
      </w:rPr>
    </w:pPr>
    <w:r w:rsidRPr="00F51AF6">
      <w:rPr>
        <w:i/>
        <w:sz w:val="16"/>
        <w:szCs w:val="16"/>
      </w:rPr>
      <w:t>Настоящият документ е разработен във връзка с изпълнението на договор за безвъзмездна финансова помощ № № 190327 от 26.08.2025 г. по проект: JEMS No: ROBG00276-GOAL „Go Out and Learn“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  <w:p w:rsidR="00015AA4" w:rsidRDefault="00015AA4" w:rsidP="0096100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3" w:rsidRPr="00F51AF6" w:rsidRDefault="00035F53" w:rsidP="00035F53">
    <w:pPr>
      <w:pStyle w:val="Footer"/>
      <w:jc w:val="both"/>
      <w:rPr>
        <w:i/>
        <w:sz w:val="16"/>
        <w:szCs w:val="16"/>
      </w:rPr>
    </w:pPr>
    <w:r w:rsidRPr="00F51AF6">
      <w:rPr>
        <w:i/>
        <w:sz w:val="16"/>
        <w:szCs w:val="16"/>
      </w:rPr>
      <w:t>Настоящият документ е разработен във връзка с изпълнението на договор за безвъзмездна финансова помощ № № 190327 от 26.08.2025 г. по проект: JEMS No: ROBG00276-GOAL „Go Out and Learn“</w:t>
    </w:r>
    <w:r>
      <w:rPr>
        <w:i/>
        <w:sz w:val="16"/>
        <w:szCs w:val="16"/>
      </w:rPr>
      <w:t xml:space="preserve"> </w:t>
    </w:r>
    <w:r w:rsidRPr="00F51AF6">
      <w:rPr>
        <w:i/>
        <w:sz w:val="16"/>
        <w:szCs w:val="16"/>
      </w:rPr>
      <w:t xml:space="preserve"> съфинансиран от Европейския съюз от Европейския фонд за регионално развитие чрез Програмата INTERREG VI-A Румъния-България. Съдържанието на този материал не представя непременно официалната позиция на Европейския съюз.</w:t>
    </w:r>
  </w:p>
  <w:p w:rsidR="00EB3E77" w:rsidRPr="00035F53" w:rsidRDefault="00EB3E77" w:rsidP="00035F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4A6" w:rsidRDefault="000774A6">
      <w:r>
        <w:separator/>
      </w:r>
    </w:p>
  </w:footnote>
  <w:footnote w:type="continuationSeparator" w:id="0">
    <w:p w:rsidR="000774A6" w:rsidRDefault="000774A6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26C5">
      <w:rPr>
        <w:rStyle w:val="PageNumber"/>
        <w:noProof/>
      </w:rPr>
      <w:t>6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57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:rsidTr="00EB3E77">
      <w:tc>
        <w:tcPr>
          <w:tcW w:w="10435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8435B1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8435B1" w:rsidP="008435B1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222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  <w:tr w:rsidR="00EB3E77" w:rsidTr="00EB3E77">
      <w:tc>
        <w:tcPr>
          <w:tcW w:w="10435" w:type="dxa"/>
          <w:shd w:val="clear" w:color="auto" w:fill="auto"/>
          <w:vAlign w:val="center"/>
        </w:tcPr>
        <w:p w:rsidR="00EB3E77" w:rsidRDefault="00EB3E77" w:rsidP="00EB3E77">
          <w:pPr>
            <w:widowControl w:val="0"/>
            <w:spacing w:before="100" w:after="100"/>
            <w:jc w:val="cent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49A8A9AC" wp14:editId="66821090">
                <wp:simplePos x="0" y="0"/>
                <wp:positionH relativeFrom="column">
                  <wp:posOffset>5351780</wp:posOffset>
                </wp:positionH>
                <wp:positionV relativeFrom="paragraph">
                  <wp:posOffset>-82550</wp:posOffset>
                </wp:positionV>
                <wp:extent cx="447675" cy="44767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olifonia-EN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7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C66A3">
            <w:rPr>
              <w:rFonts w:ascii="Times New Roman" w:hAnsi="Times New Roman"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60288" behindDoc="0" locked="0" layoutInCell="1" allowOverlap="1" wp14:anchorId="26C23F6D" wp14:editId="05080DA5">
                <wp:simplePos x="0" y="0"/>
                <wp:positionH relativeFrom="column">
                  <wp:posOffset>196850</wp:posOffset>
                </wp:positionH>
                <wp:positionV relativeFrom="paragraph">
                  <wp:posOffset>-11430</wp:posOffset>
                </wp:positionV>
                <wp:extent cx="1463040" cy="438785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-ro-bg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3040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sz w:val="14"/>
              <w:szCs w:val="14"/>
              <w:lang w:val="en-US"/>
            </w:rPr>
            <w:t xml:space="preserve">                    </w:t>
          </w:r>
          <w:r w:rsidRPr="006C66A3">
            <w:rPr>
              <w:rFonts w:ascii="Verdana" w:hAnsi="Verdana"/>
              <w:sz w:val="14"/>
              <w:szCs w:val="14"/>
            </w:rPr>
            <w:t>.</w:t>
          </w:r>
        </w:p>
      </w:tc>
      <w:tc>
        <w:tcPr>
          <w:tcW w:w="222" w:type="dxa"/>
          <w:shd w:val="clear" w:color="auto" w:fill="auto"/>
          <w:vAlign w:val="center"/>
        </w:tcPr>
        <w:p w:rsidR="00EB3E77" w:rsidRDefault="00EB3E77" w:rsidP="00EB3E77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671974"/>
    <w:multiLevelType w:val="hybridMultilevel"/>
    <w:tmpl w:val="98A0CDA4"/>
    <w:lvl w:ilvl="0" w:tplc="B1BCF9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4" w15:restartNumberingAfterBreak="0">
    <w:nsid w:val="67BD1C18"/>
    <w:multiLevelType w:val="hybridMultilevel"/>
    <w:tmpl w:val="B880C090"/>
    <w:lvl w:ilvl="0" w:tplc="F0C0C0AA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7B3"/>
    <w:rsid w:val="00012C31"/>
    <w:rsid w:val="00015AA4"/>
    <w:rsid w:val="00015FC2"/>
    <w:rsid w:val="00035F53"/>
    <w:rsid w:val="000436EA"/>
    <w:rsid w:val="00044AC9"/>
    <w:rsid w:val="00050E6F"/>
    <w:rsid w:val="00052714"/>
    <w:rsid w:val="00052CC3"/>
    <w:rsid w:val="00060621"/>
    <w:rsid w:val="000655E4"/>
    <w:rsid w:val="00071B10"/>
    <w:rsid w:val="00075024"/>
    <w:rsid w:val="000763D0"/>
    <w:rsid w:val="00076518"/>
    <w:rsid w:val="000774A6"/>
    <w:rsid w:val="00082303"/>
    <w:rsid w:val="00083BD1"/>
    <w:rsid w:val="0009518F"/>
    <w:rsid w:val="000A3901"/>
    <w:rsid w:val="000D6186"/>
    <w:rsid w:val="000E3B0B"/>
    <w:rsid w:val="00106FD8"/>
    <w:rsid w:val="00121910"/>
    <w:rsid w:val="001247B9"/>
    <w:rsid w:val="001337AA"/>
    <w:rsid w:val="00146AB5"/>
    <w:rsid w:val="0014781B"/>
    <w:rsid w:val="00156E90"/>
    <w:rsid w:val="0016079E"/>
    <w:rsid w:val="00182032"/>
    <w:rsid w:val="00191937"/>
    <w:rsid w:val="001A255D"/>
    <w:rsid w:val="001D37F5"/>
    <w:rsid w:val="001E1995"/>
    <w:rsid w:val="001E2B97"/>
    <w:rsid w:val="002135D9"/>
    <w:rsid w:val="002137A4"/>
    <w:rsid w:val="00217394"/>
    <w:rsid w:val="0022280E"/>
    <w:rsid w:val="00234274"/>
    <w:rsid w:val="0027017A"/>
    <w:rsid w:val="00274B7A"/>
    <w:rsid w:val="00281DA3"/>
    <w:rsid w:val="00291D79"/>
    <w:rsid w:val="0029441C"/>
    <w:rsid w:val="002A79DF"/>
    <w:rsid w:val="002C0E34"/>
    <w:rsid w:val="002E3EB4"/>
    <w:rsid w:val="002F5E94"/>
    <w:rsid w:val="00313AD4"/>
    <w:rsid w:val="0031498D"/>
    <w:rsid w:val="00322694"/>
    <w:rsid w:val="00340D6B"/>
    <w:rsid w:val="00343453"/>
    <w:rsid w:val="0034421F"/>
    <w:rsid w:val="003933EB"/>
    <w:rsid w:val="003A1778"/>
    <w:rsid w:val="003A5D39"/>
    <w:rsid w:val="003C2F94"/>
    <w:rsid w:val="003D3AA4"/>
    <w:rsid w:val="003D77B9"/>
    <w:rsid w:val="003E6D3D"/>
    <w:rsid w:val="003F0AD6"/>
    <w:rsid w:val="003F4A0F"/>
    <w:rsid w:val="003F73F7"/>
    <w:rsid w:val="00400207"/>
    <w:rsid w:val="00407E23"/>
    <w:rsid w:val="0041544A"/>
    <w:rsid w:val="004248A3"/>
    <w:rsid w:val="00425852"/>
    <w:rsid w:val="0043488C"/>
    <w:rsid w:val="00443E86"/>
    <w:rsid w:val="00453CC7"/>
    <w:rsid w:val="0046265B"/>
    <w:rsid w:val="0047466A"/>
    <w:rsid w:val="00482F95"/>
    <w:rsid w:val="00493CF0"/>
    <w:rsid w:val="0049571C"/>
    <w:rsid w:val="004C278B"/>
    <w:rsid w:val="00507290"/>
    <w:rsid w:val="00512593"/>
    <w:rsid w:val="00523183"/>
    <w:rsid w:val="005258B3"/>
    <w:rsid w:val="00525C08"/>
    <w:rsid w:val="005303AC"/>
    <w:rsid w:val="00537065"/>
    <w:rsid w:val="0054314E"/>
    <w:rsid w:val="00550E9F"/>
    <w:rsid w:val="005524B1"/>
    <w:rsid w:val="005606A3"/>
    <w:rsid w:val="00561799"/>
    <w:rsid w:val="005673C2"/>
    <w:rsid w:val="005726C5"/>
    <w:rsid w:val="00584989"/>
    <w:rsid w:val="00587B2B"/>
    <w:rsid w:val="00590138"/>
    <w:rsid w:val="0059138E"/>
    <w:rsid w:val="0059400D"/>
    <w:rsid w:val="00594723"/>
    <w:rsid w:val="005B5D82"/>
    <w:rsid w:val="005C40C0"/>
    <w:rsid w:val="005D2460"/>
    <w:rsid w:val="005E1A21"/>
    <w:rsid w:val="005F0AF8"/>
    <w:rsid w:val="005F3454"/>
    <w:rsid w:val="00611830"/>
    <w:rsid w:val="00613CB5"/>
    <w:rsid w:val="006212F9"/>
    <w:rsid w:val="00634BC0"/>
    <w:rsid w:val="0064678B"/>
    <w:rsid w:val="006A25DA"/>
    <w:rsid w:val="006B5633"/>
    <w:rsid w:val="006C4E78"/>
    <w:rsid w:val="006D1001"/>
    <w:rsid w:val="006D78EF"/>
    <w:rsid w:val="006F48D4"/>
    <w:rsid w:val="007312BB"/>
    <w:rsid w:val="007404EE"/>
    <w:rsid w:val="00741198"/>
    <w:rsid w:val="0074430C"/>
    <w:rsid w:val="00746C84"/>
    <w:rsid w:val="0076218F"/>
    <w:rsid w:val="007709BA"/>
    <w:rsid w:val="00770B1A"/>
    <w:rsid w:val="00771641"/>
    <w:rsid w:val="00781B64"/>
    <w:rsid w:val="0078597B"/>
    <w:rsid w:val="00785B13"/>
    <w:rsid w:val="007B2336"/>
    <w:rsid w:val="007B563B"/>
    <w:rsid w:val="007B786D"/>
    <w:rsid w:val="007C39EA"/>
    <w:rsid w:val="007C56D6"/>
    <w:rsid w:val="007C5AF0"/>
    <w:rsid w:val="007D1BBF"/>
    <w:rsid w:val="007D4047"/>
    <w:rsid w:val="008076BD"/>
    <w:rsid w:val="00817B83"/>
    <w:rsid w:val="0082019B"/>
    <w:rsid w:val="00821531"/>
    <w:rsid w:val="00827F72"/>
    <w:rsid w:val="00830B65"/>
    <w:rsid w:val="008435B1"/>
    <w:rsid w:val="00860ED0"/>
    <w:rsid w:val="008930A3"/>
    <w:rsid w:val="008B67EF"/>
    <w:rsid w:val="008F4999"/>
    <w:rsid w:val="0091593B"/>
    <w:rsid w:val="00922716"/>
    <w:rsid w:val="00927DEB"/>
    <w:rsid w:val="009302A2"/>
    <w:rsid w:val="00953E4C"/>
    <w:rsid w:val="00961002"/>
    <w:rsid w:val="00976CE7"/>
    <w:rsid w:val="00984119"/>
    <w:rsid w:val="0098424F"/>
    <w:rsid w:val="00986B44"/>
    <w:rsid w:val="009B6042"/>
    <w:rsid w:val="009C6315"/>
    <w:rsid w:val="009F7836"/>
    <w:rsid w:val="00A0283E"/>
    <w:rsid w:val="00A12FE6"/>
    <w:rsid w:val="00A13AFD"/>
    <w:rsid w:val="00A153D1"/>
    <w:rsid w:val="00A1624F"/>
    <w:rsid w:val="00A20EA2"/>
    <w:rsid w:val="00A22F5F"/>
    <w:rsid w:val="00A267DD"/>
    <w:rsid w:val="00A26A4E"/>
    <w:rsid w:val="00A50A4C"/>
    <w:rsid w:val="00A56501"/>
    <w:rsid w:val="00A63654"/>
    <w:rsid w:val="00A76301"/>
    <w:rsid w:val="00A83922"/>
    <w:rsid w:val="00A839BD"/>
    <w:rsid w:val="00A90C52"/>
    <w:rsid w:val="00A94246"/>
    <w:rsid w:val="00AB598D"/>
    <w:rsid w:val="00AC3243"/>
    <w:rsid w:val="00AC4C88"/>
    <w:rsid w:val="00AE71C7"/>
    <w:rsid w:val="00AF3555"/>
    <w:rsid w:val="00AF37C7"/>
    <w:rsid w:val="00AF7670"/>
    <w:rsid w:val="00B205B6"/>
    <w:rsid w:val="00B273C2"/>
    <w:rsid w:val="00B52507"/>
    <w:rsid w:val="00B541F5"/>
    <w:rsid w:val="00B72119"/>
    <w:rsid w:val="00BB0FE3"/>
    <w:rsid w:val="00BD1E1F"/>
    <w:rsid w:val="00BD3D26"/>
    <w:rsid w:val="00BE6F8E"/>
    <w:rsid w:val="00C13879"/>
    <w:rsid w:val="00C157B2"/>
    <w:rsid w:val="00C477B5"/>
    <w:rsid w:val="00C607C9"/>
    <w:rsid w:val="00C60A36"/>
    <w:rsid w:val="00C62E5C"/>
    <w:rsid w:val="00C76C51"/>
    <w:rsid w:val="00C776B9"/>
    <w:rsid w:val="00C82D0B"/>
    <w:rsid w:val="00C830AF"/>
    <w:rsid w:val="00C84AE1"/>
    <w:rsid w:val="00C9339D"/>
    <w:rsid w:val="00CA6F4A"/>
    <w:rsid w:val="00CA77C3"/>
    <w:rsid w:val="00CB1743"/>
    <w:rsid w:val="00CF45B3"/>
    <w:rsid w:val="00D10414"/>
    <w:rsid w:val="00D1229E"/>
    <w:rsid w:val="00D13188"/>
    <w:rsid w:val="00D15E5A"/>
    <w:rsid w:val="00D26E8B"/>
    <w:rsid w:val="00D27CDF"/>
    <w:rsid w:val="00D327A4"/>
    <w:rsid w:val="00D3317C"/>
    <w:rsid w:val="00D416A4"/>
    <w:rsid w:val="00D66B31"/>
    <w:rsid w:val="00D94BF7"/>
    <w:rsid w:val="00D95232"/>
    <w:rsid w:val="00DA75D1"/>
    <w:rsid w:val="00DB1512"/>
    <w:rsid w:val="00DC3AB3"/>
    <w:rsid w:val="00DC3F26"/>
    <w:rsid w:val="00DC431D"/>
    <w:rsid w:val="00DC6B71"/>
    <w:rsid w:val="00DD7847"/>
    <w:rsid w:val="00DE1E71"/>
    <w:rsid w:val="00DF5AE0"/>
    <w:rsid w:val="00E177C8"/>
    <w:rsid w:val="00E57E91"/>
    <w:rsid w:val="00E821F7"/>
    <w:rsid w:val="00E92CE1"/>
    <w:rsid w:val="00E9683D"/>
    <w:rsid w:val="00EB3E77"/>
    <w:rsid w:val="00ED42B2"/>
    <w:rsid w:val="00EE29F8"/>
    <w:rsid w:val="00F021A9"/>
    <w:rsid w:val="00F12AFD"/>
    <w:rsid w:val="00F21600"/>
    <w:rsid w:val="00F25650"/>
    <w:rsid w:val="00F34E30"/>
    <w:rsid w:val="00F439CD"/>
    <w:rsid w:val="00F52DA7"/>
    <w:rsid w:val="00F5467C"/>
    <w:rsid w:val="00F5525F"/>
    <w:rsid w:val="00F64A05"/>
    <w:rsid w:val="00F671F6"/>
    <w:rsid w:val="00F833C9"/>
    <w:rsid w:val="00F95447"/>
    <w:rsid w:val="00FA2C9A"/>
    <w:rsid w:val="00FD611E"/>
    <w:rsid w:val="00FE0542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2CBAD3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052714"/>
    <w:pPr>
      <w:ind w:left="720"/>
      <w:contextualSpacing/>
    </w:pPr>
  </w:style>
  <w:style w:type="paragraph" w:styleId="BodyText3">
    <w:name w:val="Body Text 3"/>
    <w:basedOn w:val="Normal"/>
    <w:link w:val="BodyText3Char"/>
    <w:rsid w:val="00D327A4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D327A4"/>
    <w:rPr>
      <w:b/>
      <w:i/>
      <w:color w:val="0000FF"/>
      <w:sz w:val="22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035F53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70A6-105F-4573-B10C-8865B320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tania</cp:lastModifiedBy>
  <cp:revision>74</cp:revision>
  <cp:lastPrinted>2011-03-22T15:11:00Z</cp:lastPrinted>
  <dcterms:created xsi:type="dcterms:W3CDTF">2025-12-30T09:36:00Z</dcterms:created>
  <dcterms:modified xsi:type="dcterms:W3CDTF">2026-01-22T08:25:00Z</dcterms:modified>
</cp:coreProperties>
</file>